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FC17" w14:textId="77777777" w:rsidR="00E35FF9" w:rsidRDefault="0005398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E54ECE1" w14:textId="77777777" w:rsidR="00E35FF9" w:rsidRDefault="0005398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B102425" w14:textId="77777777" w:rsidR="00E35FF9" w:rsidRDefault="0005398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15/01/2001</w:t>
      </w:r>
    </w:p>
    <w:p w14:paraId="75475FF4" w14:textId="77777777" w:rsidR="00E35FF9" w:rsidRPr="00053981" w:rsidRDefault="00053981" w:rsidP="00053981">
      <w:pPr>
        <w:spacing w:after="0" w:line="288" w:lineRule="auto"/>
        <w:jc w:val="center"/>
        <w:rPr>
          <w:rFonts w:ascii="Times New Roman" w:eastAsia="Times New Roman" w:hAnsi="Times New Roman" w:cs="Times New Roman"/>
          <w:i/>
          <w:color w:val="000000"/>
          <w:sz w:val="28"/>
          <w:szCs w:val="28"/>
        </w:rPr>
      </w:pPr>
      <w:r w:rsidRPr="00053981">
        <w:rPr>
          <w:rFonts w:ascii="Times New Roman" w:eastAsia="Times New Roman" w:hAnsi="Times New Roman" w:cs="Times New Roman"/>
          <w:i/>
          <w:color w:val="000000"/>
          <w:sz w:val="28"/>
          <w:szCs w:val="28"/>
        </w:rPr>
        <w:t>Giảng tại: Tịnh tông Học hội Singapore</w:t>
      </w:r>
    </w:p>
    <w:p w14:paraId="02AD36FB" w14:textId="77777777" w:rsidR="00053981" w:rsidRPr="00053981" w:rsidRDefault="00053981" w:rsidP="00053981">
      <w:pPr>
        <w:spacing w:after="0" w:line="288" w:lineRule="auto"/>
        <w:jc w:val="center"/>
        <w:rPr>
          <w:rFonts w:ascii="Times New Roman" w:eastAsia="Times New Roman" w:hAnsi="Times New Roman" w:cs="Times New Roman"/>
          <w:i/>
          <w:color w:val="000000"/>
          <w:sz w:val="28"/>
          <w:szCs w:val="28"/>
        </w:rPr>
      </w:pPr>
      <w:r w:rsidRPr="00053981">
        <w:rPr>
          <w:rFonts w:ascii="Times New Roman" w:eastAsia="Times New Roman" w:hAnsi="Times New Roman" w:cs="Times New Roman"/>
          <w:i/>
          <w:color w:val="000000"/>
          <w:sz w:val="28"/>
          <w:szCs w:val="28"/>
        </w:rPr>
        <w:t>Việt dịch: Ban biên dịch Pháp Âm Tuyên Lưu</w:t>
      </w:r>
    </w:p>
    <w:p w14:paraId="4E38FC8A" w14:textId="5FBD77E3" w:rsidR="00E35FF9" w:rsidRDefault="0005398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112</w:t>
      </w:r>
    </w:p>
    <w:p w14:paraId="7B3D1F5C" w14:textId="77777777" w:rsidR="00E35FF9" w:rsidRDefault="00E35FF9">
      <w:pPr>
        <w:spacing w:after="0" w:line="288" w:lineRule="auto"/>
        <w:jc w:val="center"/>
        <w:rPr>
          <w:rFonts w:ascii="Times New Roman" w:eastAsia="Times New Roman" w:hAnsi="Times New Roman" w:cs="Times New Roman"/>
          <w:b/>
          <w:color w:val="000000"/>
          <w:sz w:val="28"/>
          <w:szCs w:val="28"/>
        </w:rPr>
      </w:pPr>
    </w:p>
    <w:p w14:paraId="5399BA71"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Chúng ta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hiểu rõ Phật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hiểu rõ ý nghĩa chân thật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học tập của chúng ta đến cuối cùng đều là trống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phát tâm học Phật không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thật sự có thành tựu 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Phật là gì. Trong kinh luận, Phật nói với chúng ta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là tự tánh của bản thân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gọi là “đương nhân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tự tánh của chính chúng ta.</w:t>
      </w:r>
    </w:p>
    <w:p w14:paraId="4C7B830C"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năm xưa còn tại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kinh được nói trong 49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của Thích-ca Mâu-ni Phật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nếu là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học với ngài, vậy những điều mà ngài đã nói trong 49 năm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tự tánh của chính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học Phật gọi là nội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là ở chỗ này, nếu như cầu pháp ngoài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gọi là ngoại đạo. Nếu chúng ta cho rằng Phật pháp là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sau khi chúng ta học thành thì là ngoại đạo rồi, sự nhận biết này là điểm mấu chốt.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phải học với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hướng vào trong tự tánh mà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chỗ vĩ đại nhất của giáo học Phật-đà, không những Thích-ca Mâu-ni Phật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Khổng tử, Mạnh tử cũng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thuyết của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được lưu truyền phổ biến nhất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Học, Trung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Luận Ngữ, Mạnh Tử, đây có phải là tư tưởng của Khổng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tư tưởng của Mạnh tử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cũng là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 đức năng vốn có trong tự tánh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có nhận thức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sau đó chúng ta mới thật sự có được sở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Đắc được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triệt đại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đạt được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ngộ nhập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thật sự sáng tỏ rằng tất cả chúng sanh trong hư không pháp giới và chính mình là một thể.</w:t>
      </w:r>
    </w:p>
    <w:p w14:paraId="15206630"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có tính đại biểu nhất là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gọi là pháp luân căn bản của Phật pháp; bộ sách có tính đại biểu nhất của nhà Nho là Tứ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Thư là do người đời sau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Chu phu tử, tức Chu Hy triều Tống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hội tập rất tốt, trong quyển hội tập này có lý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có phương </w:t>
      </w:r>
      <w:r>
        <w:rPr>
          <w:rFonts w:ascii="Times New Roman" w:eastAsia="Book Antiqua" w:hAnsi="Times New Roman" w:cs="Times New Roman"/>
          <w:sz w:val="28"/>
          <w:szCs w:val="28"/>
        </w:rPr>
        <w:lastRenderedPageBreak/>
        <w:t>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kèm theo biểu diễn,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thức giống hệt như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sau khi tôi xem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phỏng đoán,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hứng của Chu phu tử nhất định là có được từ kinh Hoa Nghiêm, kinh Hoa Nghiêm có lý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phương pháp, có biểu diễn.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bộ Tứ Thư thì Trung Dung là lý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Học là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Luận Ngữ là sự biểu diễn của Khổng lão phu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cũng chính là nói Khổng phu tử đem đạo lý của Trung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của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việc đối nhân, xử thế, tiếp vật trong đời sống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ra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phu tử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Mạnh phu tử cũng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phu tử làm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Mạnh phu tử làm chưa đủ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tử là thánh, Mạnh tử là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là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tánh đức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 đức năng vốn có của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Hoa Nghiêm thật sự là không hai, không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 phu tử tiếp xúc với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hạ công phu ở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tưởng tượng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Tứ Thư mà ông hội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có thể là được sự gợi ý từ kinh Hoa Nghiêm.</w:t>
      </w:r>
    </w:p>
    <w:p w14:paraId="7FC95AA5"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Khổng tử, Mạnh tử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xem các ngài là Phật Bồ-tát, tổng cương lĩnh, tổng nguyên tắc của ngài là câu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“minh đức, thân dân, chỉ ư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Học vừa mở đầu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“Đại học chi đạo, tại minh minh đức, tại thân dân, tại chỉ ư chí thiện”</w:t>
      </w:r>
      <w:r>
        <w:rPr>
          <w:rFonts w:ascii="Times New Roman" w:eastAsia="Book Antiqua" w:hAnsi="Times New Roman" w:cs="Times New Roman"/>
          <w:sz w:val="28"/>
          <w:szCs w:val="28"/>
        </w:rPr>
        <w:t xml:space="preserve"> (Đạo của Đại Học là ở chỗ làm sáng tỏ minh đức, ở chỗ thân dân, ở chỗ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tổng cương lĩnh của toàn bộ Nho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ngàn câu vạn lời đều không thể xa rời nguyên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cương lĩnh, tổng nguyên tắc giáo học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gọi là “A-nậu-đa-la tam-miệu tam-bồ-đề”,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tổng cương lĩnh, ý nghĩa của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hoàn toàn tương đồng với “minh đức, thân dân, chỉ ư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ý nghĩa chỉ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A-nậu-đa-la tam-miệu tam-bồ-đề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dịch sang tiếng Trung là </w:t>
      </w:r>
      <w:r>
        <w:rPr>
          <w:rFonts w:ascii="Times New Roman" w:eastAsia="Book Antiqua" w:hAnsi="Times New Roman" w:cs="Times New Roman"/>
          <w:i/>
          <w:sz w:val="28"/>
          <w:szCs w:val="28"/>
        </w:rPr>
        <w:t>Vô thượng chánh đẳng chánh giác</w:t>
      </w:r>
      <w:r>
        <w:rPr>
          <w:rFonts w:ascii="Times New Roman" w:eastAsia="Book Antiqua" w:hAnsi="Times New Roman" w:cs="Times New Roman"/>
          <w:sz w:val="28"/>
          <w:szCs w:val="28"/>
        </w:rPr>
        <w:t>, quý vị hãy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gì khác biệt với “minh đức, thân dân, chỉ ư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Đại Học đâu, đây đều là từ trong tánh đức viên mãn mà lưu lộ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hiểu được cương lĩnh, nguyên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mới có thể thật sự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học tập Nho và Phật là vĩnh viễn không ngừng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gián đoạn; 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vô lượng kiếp về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đời kiếp kiếp đều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tập không ngừng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tập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thành Phật, đã làm đại thánh nhân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là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hóa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làm gương mẫu,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một tấm gương về học tập, chúng ta phải biết đạo lý này.</w:t>
      </w:r>
    </w:p>
    <w:p w14:paraId="3190F459"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người làm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làm cho con cái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con cái noi theo gương này mà học, thầy cô cũng hằng ngày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làm </w:t>
      </w:r>
      <w:r>
        <w:rPr>
          <w:rFonts w:ascii="Times New Roman" w:eastAsia="Book Antiqua" w:hAnsi="Times New Roman" w:cs="Times New Roman"/>
          <w:sz w:val="28"/>
          <w:szCs w:val="28"/>
        </w:rPr>
        <w:lastRenderedPageBreak/>
        <w:t>ra hình dáng này cho học sinh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ở ngành nghề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ở thân phận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cùng một đạo lý, lãnh đạo hằng ngày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cấp dưới của họ thấy; ông chủ hằng ngày đang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nhân viên của họ thấy. Thầy trò thúc đẩy nhau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có thể thành tựu viên mãn công đức; 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học tập này xưa nay chưa từng lơi lỏng.</w:t>
      </w:r>
    </w:p>
    <w:p w14:paraId="501ADFA2"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xã hội vì sao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quên mất đạo lý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cha mẹ không biết dạy con cái,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cô không biết dạy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chủ không biết dạy nhân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trách lẫn nhau, trên dưới bất hòa, đây là căn nguyên của xã hội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xuất thế gian quy kết đến cuối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đến già, học đến già, học không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đời đời kiếp kiếp, không học sao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Huống chi chúng ta ở địa vị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đoạn được mảy may phiền não tập khí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nâng cao cảnh giới của mình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mười pháp giới chính là mười cấp bậc, chúng ta hiện nay ở cõi người, đại sư Thiên Thai giảng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đem mười cõi mở rộng thành một trăm cõi, ở trong mỗi một cõi lại có mười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“bách giới thiên như”, cách nói này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cõi người có cõi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trong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trong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văn, Duyên giác trong cõi người..., trở xuống thì có ba đường ác trong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tự mình nghiêm túc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mười pháp giới ở cõi người, chúng ta ở giới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chúng ta phải có tâm cảnh giác.</w:t>
      </w:r>
    </w:p>
    <w:p w14:paraId="16AA3447"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trong kinh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đem nhân tố đứng đầu quan trọng nhất của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ra cho chúng ta, trong kinh Hoa Nghiêm nói rất hay: </w:t>
      </w:r>
      <w:r>
        <w:rPr>
          <w:rFonts w:ascii="Times New Roman" w:eastAsia="Book Antiqua" w:hAnsi="Times New Roman" w:cs="Times New Roman"/>
          <w:i/>
          <w:sz w:val="28"/>
          <w:szCs w:val="28"/>
        </w:rPr>
        <w:t>“Nên xét kỹ tánh của pháp giới, hết thảy đều do tâm tạo”</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lại nói với chúng ta: </w:t>
      </w:r>
      <w:r>
        <w:rPr>
          <w:rFonts w:ascii="Times New Roman" w:eastAsia="Book Antiqua" w:hAnsi="Times New Roman" w:cs="Times New Roman"/>
          <w:i/>
          <w:sz w:val="28"/>
          <w:szCs w:val="28"/>
        </w:rPr>
        <w:t>“Y chánh trang nghiêm của mười pháp giới</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là do tâm hiện, do thức biến”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thể hội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chứng minh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từ tâm tưởng sanh”, tất cả pháp là do tâm tưởng của mình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không liên quan gì đến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trời trách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bạn tự mình tạo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bạn sẽ bị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việc này không liên quan gì đến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Cát hung họa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giàu nghèo sang hèn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do tự mình tạo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quả báo do khởi tâm động niệm của chính mình biến hiện ra, cảnh giới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quả báo.</w:t>
      </w:r>
    </w:p>
    <w:p w14:paraId="2BC45DBF"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giới Phật là “tâm bình đẳng”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là đệ tử Phật, cúng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nói điều quan trọng nhất là cúng một ly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đại biểu cho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chúng ta nhìn thấy ly nước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nghĩ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đối nhân xử thế tiếp vật phải dùng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là thuần chân, không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là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là tâm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Phật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Phật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dùng 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lục độ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tứ đế là Thanh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nhân duyên là Duyên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thập thiện, tâm tứ vô lượng là chư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ngũ giới thập thiện là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Trở xuống dưới thì tham lam là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sân giận là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 si là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ngũ giới thập thiện, nếu không buông xả cống cao ngã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tâm a-tu-la; a-tu-la không chịu thua kém, hiếu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họ cũng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chịu thua kém, hiếu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rơi vào cõi a-tu-la, nếu khiêm tốn, cung kính, tu ngũ giới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cõi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trời là từ bi hỷ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cống cao ngã mạn. Chúng ta học cái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học những điều này, mỗi ngày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kiểm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sửa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tích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thiện mới có thể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lỗi lầm dần dần được tiêu trừ.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cho bản thân đạt đến thuần thiện, không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quả địa rốt ráo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phải tu ngũ giới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biểu diễn cho chúng sanh chưa giác ngộ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đại từ đại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thừa nguyện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rộng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làm cho người khác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Tận tâm tận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phải chăm lo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mẫn tu ba loại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tài, bố thí pháp, bố thí vô úy.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bố thí vô úy, điều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có thể khiến tất cả chúng sanh tâm an lý đắc, tâm của chúng sanh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hãi,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giúp họ thân tâm an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xa lìa sợ hãi,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bố thí vô úy.</w:t>
      </w:r>
    </w:p>
    <w:p w14:paraId="567A44B4"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gần đây có xây một niệm Phật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w:t>
      </w:r>
      <w:r>
        <w:rPr>
          <w:rFonts w:ascii="Times New Roman" w:eastAsia="Book Antiqua" w:hAnsi="Times New Roman" w:cs="Times New Roman"/>
          <w:i/>
          <w:sz w:val="28"/>
          <w:szCs w:val="28"/>
        </w:rPr>
        <w:t>Niệm Phật đường Báo Ân</w:t>
      </w:r>
      <w:r>
        <w:rPr>
          <w:rFonts w:ascii="Times New Roman" w:eastAsia="Book Antiqua" w:hAnsi="Times New Roman" w:cs="Times New Roman"/>
          <w:sz w:val="28"/>
          <w:szCs w:val="28"/>
        </w:rPr>
        <w:t xml:space="preserve"> ở trên núi Cổ Tấn, niệm Phật đường này có 54 liêu phòng,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liêu phòng ở được 2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cộng có thể ở 100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đồng tu niệm Phật khắp các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hoan nghênh mọi người đến bên đó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tràng này đã xây nhiều phòng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nhất định không bán,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cho thuê,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tiếp đón đồng tu các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có ngày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tuần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tuần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tháng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tháng cũng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ngày nghỉ thì có thể lên trên núi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Môi trường trên núi rất tốt, chúng tôi có làm phòng tiếp đón,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đồng tu tại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Úc, chúng tôi có xây một đạo tràng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Trung tâm đa nguyên văn hóa Toowoomba</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không gọi là chùa,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gọi là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gọi là “Trung tâm đa nguyên văn hóa”, đây là đạo tràng xây cho đồng tu xuất gia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xuất gia muốn chân thật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nơi đó để niệm Phật, nghiên cứu giáo lý; đạo tràng của chúng tôi không có pháp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kinh sám Phật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thuần túy là đạo tràng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tràng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nhất định làm theo quy củ của Ấn tổ ở núi Linh Nham, Tô Châu, chúng trụ ở đây không được nhận đệ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nhận đệ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nên tự lập chỗ 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rời khỏi đạo tràng này, nơi đây chỉ dành cho đại chúng chuyên tịnh tu.</w:t>
      </w:r>
    </w:p>
    <w:p w14:paraId="491E0814"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việc hoằng pháp lợi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Úc hiện nay có khoảng bảy, tám Tịnh tông Học hội, chúng ta có thể đến các nơi để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dẫn dắt mọi người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kinh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tu Phật thất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trở về Toowoomba để tiến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hiện nay có một chút khả năng như vậy để chăm lo cho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niệm niệm phải nghĩ đến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giúp đỡ người khác, nếu có khả năng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sẽ xây thêm mấy đạo tràng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khả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xây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miễn cưỡng,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hóa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muốn xây bao nhiêu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khắp nơi phan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xin mọi người một xu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tràng thành tựu một cách tự nhiên, vĩnh viễn gìn giữ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đạo.</w:t>
      </w:r>
    </w:p>
    <w:p w14:paraId="56821A9C"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Lần trước chúng tôi đã giảng đến “tấn căn” trong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hôm nay chúng ta lại xem tiếp “niệm căn”. Cổ đức nói: </w:t>
      </w:r>
      <w:r>
        <w:rPr>
          <w:rFonts w:ascii="Times New Roman" w:eastAsia="Book Antiqua" w:hAnsi="Times New Roman" w:cs="Times New Roman"/>
          <w:i/>
          <w:sz w:val="28"/>
          <w:szCs w:val="28"/>
        </w:rPr>
        <w:t>“Đối với chánh trợ đạo, phải nhớ nghĩ không quên”</w:t>
      </w:r>
      <w:r>
        <w:rPr>
          <w:rFonts w:ascii="Times New Roman" w:eastAsia="Book Antiqua" w:hAnsi="Times New Roman" w:cs="Times New Roman"/>
          <w:sz w:val="28"/>
          <w:szCs w:val="28"/>
        </w:rPr>
        <w:t>, lời nói này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thế nào mới có thể niệm niệm không quên,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vậy thì niệm của chúng ta mới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ở chỗ này, tóm lại nhất định phải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ba môn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w:t>
      </w:r>
      <w:r>
        <w:rPr>
          <w:rFonts w:ascii="Times New Roman" w:eastAsia="Book Antiqua" w:hAnsi="Times New Roman" w:cs="Times New Roman"/>
          <w:i/>
          <w:sz w:val="28"/>
          <w:szCs w:val="28"/>
        </w:rPr>
        <w:t>tín, tấn, niệm, định, tuệ</w:t>
      </w:r>
      <w:r>
        <w:rPr>
          <w:rFonts w:ascii="Times New Roman" w:eastAsia="Book Antiqua" w:hAnsi="Times New Roman" w:cs="Times New Roman"/>
          <w:sz w:val="28"/>
          <w:szCs w:val="28"/>
        </w:rPr>
        <w:t xml:space="preserve"> đều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tầm quan trọng của ba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tứ chánh cần, tứ như ý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ba môn phía trước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bốn môn phía sau chắc chắn không có.</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Tín, tấn, niệm, định, tuệ</w:t>
      </w:r>
      <w:r>
        <w:rPr>
          <w:rFonts w:ascii="Times New Roman" w:eastAsia="Book Antiqua" w:hAnsi="Times New Roman" w:cs="Times New Roman"/>
          <w:sz w:val="28"/>
          <w:szCs w:val="28"/>
        </w:rPr>
        <w:t xml:space="preserve"> của chúng ta ngày nay đều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do chúng ta không nghiêm túc tu niệm xứ, chánh cần,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xứ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túc là buông xuống; nếu như không thể nhìn thấu, không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gì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buông xuống có thể sanh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mấu chốt là ở chánh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ở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phát tâm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w:t>
      </w:r>
      <w:r>
        <w:rPr>
          <w:rFonts w:ascii="Times New Roman" w:eastAsia="Book Antiqua" w:hAnsi="Times New Roman" w:cs="Times New Roman"/>
          <w:i/>
          <w:sz w:val="28"/>
          <w:szCs w:val="28"/>
        </w:rPr>
        <w:t>tín, tấn, niệm, định, tuệ</w:t>
      </w:r>
      <w:r>
        <w:rPr>
          <w:rFonts w:ascii="Times New Roman" w:eastAsia="Book Antiqua" w:hAnsi="Times New Roman" w:cs="Times New Roman"/>
          <w:sz w:val="28"/>
          <w:szCs w:val="28"/>
        </w:rPr>
        <w:t xml:space="preserve"> của chúng ta mới có căn.</w:t>
      </w:r>
    </w:p>
    <w:p w14:paraId="37CAC8ED"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Niệm căn là “đối với chánh trợ đạo, phải nhớ nghĩ không quên”.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câu nói này là nguyên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tu học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có chánh tu, có trợ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Tịnh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tu là như trong kinh A-di-đà nói là chấp trì danh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Đại Thế Chí nói là tịnh niệm tiếp nối,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chánh tu của chúng ta, 24 tiếng đồng hồ nhất định không quên danh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của danh hiệu không thể nghĩ bàn; còn trợ tu là đoạn ác tu thiện,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trợ song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Xưa nay tổ sư đại đức cũng có một cách nói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tu là chấp trì danh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trợ tu vẫn là chấp trì danh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này cũng không sai. Thế nhưng người sơ học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dễ hiểu sai,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là một câu Phật hiệu niệm đến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một tạp niệm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chánh trợ đều viên mãn; nếu chưa đạt đến công phu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ranh giới của chánh và trợ vẫn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trợ vẫn không có cách gì dung hợp thành một thể; chỉ khi đạt đến hoàn toàn không có tạp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chánh trợ này là một thể, 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sợ điều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cách nói này của tổ sư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bèn nhất tâm chuyên niệm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quan tâm đến đoạn ác tu thiện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tập khí vẫn cứ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việc giúp đỡ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muốn làm, đây chính là chúng ta hiểu sai lệch ý của tổ sư.</w:t>
      </w:r>
    </w:p>
    <w:p w14:paraId="63DA4C18"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Khi chánh trợ thật sự hòa hợp thành một thể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hết ác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niệm không có khả năng khởi hiện hành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tu thiện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nếu không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việc gì phải đến thế gian này để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gì phải 49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cực khổ vất vả giảng kinh thuyết pháp cho chúng sanh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thiết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kinh thuyết pháp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tu thiện; 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công đức đạt đến viên mãn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không hề từ bỏ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quả địa Như Lai còn không bỏ,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ở trên nhân địa đã bỏ mất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các đồng tu nhất định phải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đoạn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đoạn từ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ác niệm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hành vi ác tự nhiên sẽ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hạ công phu ở chỗ này; nhất định phải tu thiện, Phật dạy chúng ta 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 tức là chúng ta gặp được cơ duyên thì phải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gặp được thì không cần đi tìm để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gặp được, mà tự mình đi tìm để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gọi là phan duyên, đây là điều chúng ta phải phân biệt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đoạn ác tu thiện vĩnh viễn không dứt,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khi gặp được cơ duyên thì bạn mới chịu hết lòng nỗ lực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nghi hoặc mà làm.</w:t>
      </w:r>
    </w:p>
    <w:p w14:paraId="26528C92"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Tịnh độ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hết sức hiểu rõ về chánh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trợ đạo thì quá nhiều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mãi không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Trợ đạo chính là tích lũy công đức, số mục quá nhiều thì cần phải nắm chắc cương lĩnh.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khi Tịnh tông Học hội thành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phần duyên khởi chúng tôi đã đưa ra năm khoa mục, năm khoa mục này chính là điều cần thiết phải học tập trong trợ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mục thứ nhất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“tịnh nghiệp tam phước” trong kinh Quán Vô Lượng Thọ Phật. Tổng cộng có ba điều, mười một câu, điều thứ nhất là “hiếu dưỡng cha mẹ, phụng sự sư trưởng, từ tâm không giết, tu thập thiện nghiệp”, điều thứ hai là “thọ trì tam quy, đầy đủ các giới, không phạm oai nghi”, điều thứ ba là “phát tâm Bồ-đề, tin sâu nhân quả, đọc tụng Đại thừa, khuyến tấn hành giả”, phải thường xuyên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luôn thực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được.</w:t>
      </w:r>
    </w:p>
    <w:p w14:paraId="17862A97"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Khoa mục thứ hai là “lục hòa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hòa đồng giải” trong lục hòa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có cảnh giới cao như vậy của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cách nhìn của chúng ta đối với vũ trụ, đối với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tất cả người, việc và vật đều lấy kinh luận làm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tu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mà chúng ta ngày nay áp dụng là ba kinh Tịnh độ:</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kinh Vô Lượng Thọ,</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kinh Quán Vô Lượng Thọ Phật,</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kinh A-di-đà</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những điều mà trong ba kinh này nói làm tiêu chuẩn, cách nghĩ, cách nhìn của chúng ta đối với tất cả người, việc và vật phải học tập theo ba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kinh không chỉ đọc qua là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suông thì không có lợi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thì phải biết ý nghĩa của nó, sau khi sáng tỏ ý nghĩa rồi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thực hành vào trong đời sống của chúng ta, chúng ta phải đem nó làm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kinh này mới có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làm được, vậy có lợi ích gì đâu?</w:t>
      </w:r>
    </w:p>
    <w:p w14:paraId="11F0BED8"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Hành vi, ngôn ngữ, tạo tác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tuân thủ theo lời giáo huấn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những việc nào nên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hết lòng nỗ lực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 nào không nên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nhất định không được vi phạm, đây chính là trì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dựa theo những điều trong ba kinh đã nói là đủ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nhất định phải đọc kinh cho thật thuộc, khi sáu căn của chúng ta tiếp xúc với cảnh giới sáu trần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khởi lên ý niệm liền có thể đối chiếu với lời kinh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khởi lên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ý niệm này có nên khởi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ý niệm này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không nên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dùng một câu “A-di-đà Phật” dẹp sạch ý niệm này đi; nếu ý niệm này cần nên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khiến cho loại ý niệm thiện này niệm niệm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tu hành là dùng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gọi là thật sự “nhớ nghĩ không quên”.</w:t>
      </w:r>
    </w:p>
    <w:p w14:paraId="42D6C8C1"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Chung sống hòa mục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đôi bên tôn trọng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kính yêu lẫn nhau, hợp tác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tận tâm tận lực cùng nhau đem Phật pháp phát dương quang đại, rộng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nghiệp Phật pháp không phải do một người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đây là sự nghiệp của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sự nghiệp của toàn thể đại chúng, chúng ta nhất định phải hiểu điều này. Trong kinh điển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“Một Phật ra đời, ngàn Phật ủng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thấy đây không phải là sự nghiệp của một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giống như diễn kịch vậy, biểu diễn trên sân khấu,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Phật ra đời thì người này đóng vai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còn có rất nhiều vai phụ,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vai phụ thì vở kịch này sẽ diễn không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đóng vai chính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xem duyên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phận của họ ở đây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cử họ lên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toàn tâm toàn lực giúp đỡ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làm chủ này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phối hợp giúp đỡ đó cũng đều là Phật.</w:t>
      </w:r>
    </w:p>
    <w:p w14:paraId="705741C7" w14:textId="77777777" w:rsidR="009E75F2" w:rsidRDefault="0005398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Phàm phu chúng ta phạm sai lầm lớn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người nào cũng muốn tranh làm anh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cũng muốn tranh dẫn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tăng đoàn hòa hợp bị phá hoại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sự thị hiện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đóng vai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chúng xuất gia gồm 1.255 người đóng vai phụ;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1.255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cổ Phật tái lai, vai diễn của họ trên sân khấu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trên thực tế đều là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diễn giống y như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một mục tiêu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rộng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công đức lớn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bên này bên kia,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bên nhiều bên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được đạo lý này.</w:t>
      </w:r>
    </w:p>
    <w:p w14:paraId="6FAA574D" w14:textId="77777777" w:rsidR="009E75F2" w:rsidRDefault="0005398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một khu vực nào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nào đó đặc biệt có duyên với khu vực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bèn cử họ ra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thuận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Thanh Sơn - Malaysia có vị cư sĩ đến thăm tôi, ông nói ở bên đó ông có một miếng đất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rộng mười mẫu Anh, muốn hiến tặng để xây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hỏi ở trong đồng học có vị nào có duyên với Malaysia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duyên của thầy Ngộ Toàn ở nơi đó rất tuyệt vời,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khắp nơi ở Malaysia đều thích thầy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nói với thầy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đi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duyên thì có thể được giúp đỡ, tín đồ thích thầy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giúp thầy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thầy làm thì sẽ dễ dàng; nếu không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sự ở nơi đó đều đối xử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đi sẽ rất khó khăn.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có người giúp đỡ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việc chúng ta tuyển chọn,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thấy] Phật giáo là dân chủ, tự do dân chủ mở cửa là Phật giáo đề xướng trước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chấp sự ở tùng lâm tự viện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năm tuyển chọn một lần, ngày ba mươi tháng Chạp là tổng kết từ nhiệm,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bộ từ chức,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tuyển chọn mới trở lại; mồng một tháng Giêng, chấp sự mới lên nhậm chức,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dân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tuyển chọn chỉ có một nguyên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duyên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coi trọng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là pháp không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đôi bên nhất định không có tranh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hòa hợp. Cho nên “lục hòa kính” quan trọng biết bao!</w:t>
      </w:r>
    </w:p>
    <w:p w14:paraId="5586BA22" w14:textId="5E8356EB" w:rsidR="00E35FF9" w:rsidRDefault="00053981">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Phía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mục tiêu, phương hướng tu học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học, lục độ, Phổ Hiền thập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đưa ra năm khoa mục này để làm trợ tu, sinh hoạt và hành trì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làm trái ngược với năm khoa mục này, thật thà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của chúng ta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căn mới có thể sinh ra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phía sau nói “ngũ lực”, có căn, có lực thì đạo nghiệp mới có thể hoàn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căn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dẫu chúng ta trong một đời siêng năng khó nhọc tu học thế nào đi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có thành tựu, chúng ta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Nếu hiện tại </w:t>
      </w:r>
      <w:r>
        <w:rPr>
          <w:rFonts w:ascii="Times New Roman" w:eastAsia="Book Antiqua" w:hAnsi="Times New Roman" w:cs="Times New Roman"/>
          <w:i/>
          <w:sz w:val="28"/>
          <w:szCs w:val="28"/>
        </w:rPr>
        <w:t>tín, tấn, niệm, định, tuệ</w:t>
      </w:r>
      <w:r>
        <w:rPr>
          <w:rFonts w:ascii="Times New Roman" w:eastAsia="Book Antiqua" w:hAnsi="Times New Roman" w:cs="Times New Roman"/>
          <w:sz w:val="28"/>
          <w:szCs w:val="28"/>
        </w:rPr>
        <w:t xml:space="preserve"> của chúng ta đều không có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phải làm giáo dục cắm rễ,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mất bò mới lo làm chuồng,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làm vẫn chưa muộn,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hết lòng nỗ lực. Tốt rồi, hôm nay giảng đến chỗ này.</w:t>
      </w:r>
    </w:p>
    <w:sectPr w:rsidR="00E35FF9" w:rsidSect="0005398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A57B" w14:textId="77777777" w:rsidR="00053981" w:rsidRDefault="00053981" w:rsidP="00053981">
      <w:pPr>
        <w:spacing w:after="0" w:line="240" w:lineRule="auto"/>
      </w:pPr>
      <w:r>
        <w:separator/>
      </w:r>
    </w:p>
  </w:endnote>
  <w:endnote w:type="continuationSeparator" w:id="0">
    <w:p w14:paraId="2EC5387D" w14:textId="77777777" w:rsidR="00053981" w:rsidRDefault="00053981" w:rsidP="0005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924" w14:textId="77777777" w:rsidR="00053981" w:rsidRDefault="00053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1C45" w14:textId="3C17F46E" w:rsidR="00053981" w:rsidRPr="00053981" w:rsidRDefault="00053981" w:rsidP="00053981">
    <w:pPr>
      <w:pStyle w:val="Footer"/>
      <w:tabs>
        <w:tab w:val="clear" w:pos="4513"/>
        <w:tab w:val="clear" w:pos="9026"/>
      </w:tabs>
      <w:jc w:val="center"/>
      <w:rPr>
        <w:rFonts w:ascii="Times New Roman" w:hAnsi="Times New Roman" w:cs="Times New Roman"/>
        <w:sz w:val="24"/>
      </w:rPr>
    </w:pPr>
    <w:r w:rsidRPr="00053981">
      <w:rPr>
        <w:rFonts w:ascii="Times New Roman" w:hAnsi="Times New Roman" w:cs="Times New Roman"/>
        <w:sz w:val="24"/>
      </w:rPr>
      <w:fldChar w:fldCharType="begin"/>
    </w:r>
    <w:r w:rsidRPr="00053981">
      <w:rPr>
        <w:rFonts w:ascii="Times New Roman" w:hAnsi="Times New Roman" w:cs="Times New Roman"/>
        <w:sz w:val="24"/>
      </w:rPr>
      <w:instrText xml:space="preserve"> PAGE  \* MERGEFORMAT </w:instrText>
    </w:r>
    <w:r w:rsidRPr="00053981">
      <w:rPr>
        <w:rFonts w:ascii="Times New Roman" w:hAnsi="Times New Roman" w:cs="Times New Roman"/>
        <w:sz w:val="24"/>
      </w:rPr>
      <w:fldChar w:fldCharType="separate"/>
    </w:r>
    <w:r w:rsidRPr="00053981">
      <w:rPr>
        <w:rFonts w:ascii="Times New Roman" w:hAnsi="Times New Roman" w:cs="Times New Roman"/>
        <w:noProof/>
        <w:sz w:val="24"/>
      </w:rPr>
      <w:t>1</w:t>
    </w:r>
    <w:r w:rsidRPr="0005398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D78F" w14:textId="5FBFE4E8" w:rsidR="00053981" w:rsidRPr="00053981" w:rsidRDefault="00053981" w:rsidP="0005398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129E" w14:textId="77777777" w:rsidR="00053981" w:rsidRDefault="00053981" w:rsidP="00053981">
      <w:pPr>
        <w:spacing w:after="0" w:line="240" w:lineRule="auto"/>
      </w:pPr>
      <w:r>
        <w:separator/>
      </w:r>
    </w:p>
  </w:footnote>
  <w:footnote w:type="continuationSeparator" w:id="0">
    <w:p w14:paraId="060FF26C" w14:textId="77777777" w:rsidR="00053981" w:rsidRDefault="00053981" w:rsidP="00053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FC3B" w14:textId="77777777" w:rsidR="00053981" w:rsidRDefault="00053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A6C6" w14:textId="77777777" w:rsidR="00053981" w:rsidRDefault="00053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51D9" w14:textId="77777777" w:rsidR="00053981" w:rsidRDefault="00053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53981"/>
    <w:rsid w:val="00074652"/>
    <w:rsid w:val="00087B79"/>
    <w:rsid w:val="000901EF"/>
    <w:rsid w:val="000E31C1"/>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44384"/>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E513F"/>
    <w:rsid w:val="009E75F2"/>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35FF9"/>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DDF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053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981"/>
    <w:rPr>
      <w:rFonts w:ascii="Calibri" w:eastAsia="Calibri" w:hAnsi="Calibri" w:cs="Calibri"/>
      <w:color w:val="auto"/>
      <w:sz w:val="22"/>
      <w:szCs w:val="22"/>
    </w:rPr>
  </w:style>
  <w:style w:type="paragraph" w:styleId="Footer">
    <w:name w:val="footer"/>
    <w:basedOn w:val="Normal"/>
    <w:link w:val="FooterChar"/>
    <w:uiPriority w:val="99"/>
    <w:unhideWhenUsed/>
    <w:rsid w:val="00053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981"/>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44384"/>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EB55-AA15-44B1-98F4-8C3BABE2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2023-07-29T06:00:00Z</dcterms:created>
  <dcterms:modified xsi:type="dcterms:W3CDTF">2026-05-13T03:37:00Z</dcterms:modified>
</cp:coreProperties>
</file>